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>Муниципальное бюджетное общеобразовательное учреждение</w:t>
      </w:r>
    </w:p>
    <w:p w:rsidR="00C3027E" w:rsidRPr="00C3027E" w:rsidRDefault="009823EA" w:rsidP="009823EA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>
        <w:rPr>
          <w:rFonts w:eastAsia="Calibri"/>
          <w:b/>
          <w:caps/>
          <w:color w:val="auto"/>
          <w:sz w:val="22"/>
          <w:lang w:eastAsia="en-US"/>
        </w:rPr>
        <w:t>«ИЩЕР</w:t>
      </w:r>
      <w:r w:rsidR="00C3027E" w:rsidRPr="00C3027E">
        <w:rPr>
          <w:rFonts w:eastAsia="Calibri"/>
          <w:b/>
          <w:caps/>
          <w:color w:val="auto"/>
          <w:sz w:val="22"/>
          <w:lang w:eastAsia="en-US"/>
        </w:rPr>
        <w:t>ская средняя общеобразовательная школа</w:t>
      </w:r>
      <w:r>
        <w:rPr>
          <w:rFonts w:eastAsia="Calibri"/>
          <w:b/>
          <w:caps/>
          <w:color w:val="auto"/>
          <w:sz w:val="22"/>
          <w:lang w:eastAsia="en-US"/>
        </w:rPr>
        <w:t>»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 xml:space="preserve">Наурского муниципального района 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>чеченской республики</w:t>
      </w:r>
    </w:p>
    <w:p w:rsidR="00C3027E" w:rsidRPr="00C3027E" w:rsidRDefault="00C3027E" w:rsidP="00C3027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  <w:lang w:eastAsia="en-US"/>
        </w:rPr>
      </w:pPr>
    </w:p>
    <w:p w:rsidR="00245544" w:rsidRDefault="00245544" w:rsidP="00C3027E">
      <w:pPr>
        <w:spacing w:after="30" w:line="246" w:lineRule="auto"/>
        <w:ind w:left="0" w:firstLine="0"/>
        <w:rPr>
          <w:sz w:val="22"/>
        </w:rPr>
      </w:pPr>
      <w:bookmarkStart w:id="0" w:name="_GoBack"/>
      <w:bookmarkEnd w:id="0"/>
    </w:p>
    <w:p w:rsidR="00245544" w:rsidRDefault="00245544">
      <w:pPr>
        <w:spacing w:after="30" w:line="246" w:lineRule="auto"/>
        <w:ind w:left="0" w:firstLine="0"/>
        <w:jc w:val="right"/>
        <w:rPr>
          <w:sz w:val="22"/>
        </w:rPr>
      </w:pPr>
    </w:p>
    <w:p w:rsidR="00245544" w:rsidRDefault="00245544" w:rsidP="00245544">
      <w:pPr>
        <w:spacing w:after="30" w:line="246" w:lineRule="auto"/>
        <w:ind w:left="0" w:firstLine="0"/>
        <w:rPr>
          <w:sz w:val="22"/>
        </w:rPr>
      </w:pPr>
    </w:p>
    <w:p w:rsidR="00245544" w:rsidRDefault="00245544" w:rsidP="00245544">
      <w:pPr>
        <w:spacing w:after="30" w:line="246" w:lineRule="auto"/>
        <w:ind w:left="0" w:firstLine="0"/>
      </w:pPr>
      <w:r>
        <w:rPr>
          <w:sz w:val="22"/>
        </w:rPr>
        <w:t xml:space="preserve">СОГЛАСОВАНО                                                                                                            УТВЕРЖДЕНО  </w:t>
      </w:r>
    </w:p>
    <w:p w:rsidR="00245544" w:rsidRDefault="00245544" w:rsidP="00245544">
      <w:pPr>
        <w:spacing w:after="11" w:line="267" w:lineRule="auto"/>
        <w:ind w:left="0" w:firstLine="0"/>
      </w:pPr>
    </w:p>
    <w:p w:rsidR="00245544" w:rsidRDefault="00245544" w:rsidP="00245544">
      <w:pPr>
        <w:spacing w:after="11" w:line="267" w:lineRule="auto"/>
        <w:rPr>
          <w:sz w:val="22"/>
        </w:rPr>
      </w:pPr>
      <w:r>
        <w:rPr>
          <w:sz w:val="22"/>
        </w:rPr>
        <w:t xml:space="preserve">с профсоюзным комитетом                                                                            приказом директора </w:t>
      </w:r>
    </w:p>
    <w:p w:rsidR="00245544" w:rsidRDefault="00245544" w:rsidP="00245544">
      <w:pPr>
        <w:spacing w:after="11" w:line="267" w:lineRule="auto"/>
      </w:pPr>
      <w:r>
        <w:rPr>
          <w:sz w:val="22"/>
        </w:rPr>
        <w:t>Прот</w:t>
      </w:r>
      <w:r w:rsidR="00D719DB">
        <w:rPr>
          <w:sz w:val="22"/>
        </w:rPr>
        <w:t>окол № 1 от 29.08.2022</w:t>
      </w:r>
      <w:r>
        <w:rPr>
          <w:sz w:val="22"/>
        </w:rPr>
        <w:t xml:space="preserve">г.                                                                      от 30.08.2022    № </w:t>
      </w:r>
    </w:p>
    <w:p w:rsidR="00245544" w:rsidRDefault="00245544" w:rsidP="00245544">
      <w:pPr>
        <w:spacing w:after="11" w:line="267" w:lineRule="auto"/>
        <w:ind w:left="-5" w:right="5961"/>
      </w:pPr>
    </w:p>
    <w:p w:rsidR="0091383A" w:rsidRDefault="0091383A">
      <w:pPr>
        <w:spacing w:after="55" w:line="421" w:lineRule="auto"/>
        <w:ind w:left="4679" w:right="4747" w:firstLine="0"/>
        <w:jc w:val="center"/>
      </w:pPr>
    </w:p>
    <w:p w:rsidR="0091383A" w:rsidRPr="00245544" w:rsidRDefault="00020AB2">
      <w:pPr>
        <w:pStyle w:val="1"/>
        <w:rPr>
          <w:szCs w:val="28"/>
        </w:rPr>
      </w:pPr>
      <w:r w:rsidRPr="00245544">
        <w:rPr>
          <w:szCs w:val="28"/>
        </w:rPr>
        <w:t xml:space="preserve">Положение </w:t>
      </w:r>
    </w:p>
    <w:p w:rsidR="0091383A" w:rsidRPr="00245544" w:rsidRDefault="00020AB2">
      <w:pPr>
        <w:spacing w:after="177" w:line="259" w:lineRule="auto"/>
        <w:ind w:left="288" w:firstLine="0"/>
        <w:rPr>
          <w:sz w:val="28"/>
          <w:szCs w:val="28"/>
        </w:rPr>
      </w:pPr>
      <w:r w:rsidRPr="00245544">
        <w:rPr>
          <w:b/>
          <w:sz w:val="28"/>
          <w:szCs w:val="28"/>
        </w:rPr>
        <w:t xml:space="preserve">о стимулировании наставничества в МБОУ « </w:t>
      </w:r>
      <w:r w:rsidR="00D719DB">
        <w:rPr>
          <w:b/>
          <w:sz w:val="28"/>
          <w:szCs w:val="28"/>
        </w:rPr>
        <w:t>Ищерская СОШ</w:t>
      </w:r>
      <w:r w:rsidRPr="00245544">
        <w:rPr>
          <w:b/>
          <w:sz w:val="28"/>
          <w:szCs w:val="28"/>
        </w:rPr>
        <w:t xml:space="preserve">» </w:t>
      </w:r>
    </w:p>
    <w:p w:rsidR="0091383A" w:rsidRPr="00245544" w:rsidRDefault="00020AB2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 Настоящее Положение о порядке и начислении стимулирующих выплат работникам </w:t>
      </w:r>
    </w:p>
    <w:p w:rsidR="00245544" w:rsidRDefault="00020AB2" w:rsidP="00245544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>Муниципального бюджетного общеобразовательного учреждения</w:t>
      </w:r>
    </w:p>
    <w:p w:rsidR="0091383A" w:rsidRPr="00245544" w:rsidRDefault="00020AB2" w:rsidP="00245544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« </w:t>
      </w:r>
      <w:r w:rsidR="00D719DB">
        <w:rPr>
          <w:sz w:val="28"/>
          <w:szCs w:val="28"/>
        </w:rPr>
        <w:t xml:space="preserve">Ищерская </w:t>
      </w:r>
      <w:r w:rsidR="00245544" w:rsidRPr="00245544">
        <w:rPr>
          <w:sz w:val="28"/>
          <w:szCs w:val="28"/>
        </w:rPr>
        <w:t xml:space="preserve"> СОШ</w:t>
      </w:r>
      <w:r w:rsidRPr="00245544">
        <w:rPr>
          <w:sz w:val="28"/>
          <w:szCs w:val="28"/>
        </w:rPr>
        <w:t xml:space="preserve">» (далее Положение), разработано в соответствии с Федеральным законом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Российской Федерации от 29 декабря 2021 года № 273 «Об образовании в Российской Федерации»,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>1.2 Положение распространяется на всех работников Муниципального бюджетного об</w:t>
      </w:r>
      <w:r w:rsidR="00245544">
        <w:rPr>
          <w:sz w:val="28"/>
          <w:szCs w:val="28"/>
        </w:rPr>
        <w:t>щеобразовательного учреждения «</w:t>
      </w:r>
      <w:r w:rsidR="00D719DB">
        <w:rPr>
          <w:sz w:val="28"/>
          <w:szCs w:val="28"/>
        </w:rPr>
        <w:t>Ищерская  СОШ</w:t>
      </w:r>
      <w:r w:rsidRPr="00245544">
        <w:rPr>
          <w:sz w:val="28"/>
          <w:szCs w:val="28"/>
        </w:rPr>
        <w:t xml:space="preserve">» основная общеобразовательная школа (далее Учреждение) в соответствии со штатным расписанием.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1.3 Стимулирующие выплаты устанавливаются работникам с учётом выполнения им функций наставника, позволяющих оценить результативность и качество выполняемой роли наставника.  </w:t>
      </w:r>
    </w:p>
    <w:p w:rsidR="0091383A" w:rsidRPr="00245544" w:rsidRDefault="00020AB2">
      <w:pPr>
        <w:spacing w:after="212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1.4 Положение включает в себя объективный механизм оценки достижения результатов и качества работы наставника на основании конкретных критериев и показателей, являющихся неотъемлемой частью данного Положения.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lastRenderedPageBreak/>
        <w:t xml:space="preserve"> 1.5 Критерии и показатели отражают уровень результативности и качества работы наставника. При этом учитывается реализация проекта модели наставничества.  </w:t>
      </w:r>
    </w:p>
    <w:p w:rsidR="0091383A" w:rsidRPr="00245544" w:rsidRDefault="00020AB2">
      <w:pPr>
        <w:spacing w:after="21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1.6 Положение определяет порядок начисления и распределения стимулирующих выплат за счёт бюджетных средств Учреждения.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1.7 Средства на осуществление стимулирования наставников формируется из средств стимулирующей части фонда оплаты труда, определяющейся при ежегодном формировании годового фонда оплаты труда, а также сложившейся экономии части фонда оплаты труда, предусмотренной на выплату должностных окладов, и неиспользованных средств компенсационного фонда.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1.8 Учреждение самостоятельно распределяет стимулирующую часть фонда оплаты труда на выплаты, установленные Положением.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1.9 Суммы стимулирующих выплат распределяются после начисления основной части заработной платы и выплачиваются в пределах доведенных бюджетных ассигнований.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1.10 Стимулирующие выплаты наставникам учреждения устанавливаются по итогам периода, определенного организацией.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1.11 Размер стимулирующих выплат за реализацию проекта модели наставничества устанавливается в пределах 10% от ставки педагогических работников и начисляется наставнику.  </w:t>
      </w:r>
    </w:p>
    <w:p w:rsidR="0091383A" w:rsidRPr="00245544" w:rsidRDefault="00020AB2">
      <w:pPr>
        <w:spacing w:after="208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2.1 Результатом правильной организации работы наставников в модели наставничества «учитель-ученик», «учитель-учитель» и другие является высокий уровень включенности наставляемых во все социальные, культурные и образовательные процессы организации.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2.2 Показателем результативности наставничества в модели «учитель-ученик» являются обучающиеся – наставляемые подросткового возраста, получившие необходимый стимул к культурному, интеллектуальному, физическому совершенствованию, самореализации, а также развитию необходимых компетенций.  </w:t>
      </w:r>
    </w:p>
    <w:p w:rsidR="0091383A" w:rsidRPr="00245544" w:rsidRDefault="00020AB2">
      <w:pPr>
        <w:spacing w:after="213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lastRenderedPageBreak/>
        <w:t>2.3 Результатам правильной организации работы наставников в модели наставничества «учитель-ученик» относятся: – повышение успеваемости и улучшение психоэмоционального фона внутри класса (группы) и образовательной организации; – численный рост посещаемости творческих кружков, объединений, спортивных секций; – количественный и качес</w:t>
      </w:r>
      <w:r w:rsidR="00245544">
        <w:rPr>
          <w:sz w:val="28"/>
          <w:szCs w:val="28"/>
        </w:rPr>
        <w:t>твенный рост успешно реализован</w:t>
      </w:r>
      <w:r w:rsidRPr="00245544">
        <w:rPr>
          <w:sz w:val="28"/>
          <w:szCs w:val="28"/>
        </w:rPr>
        <w:t xml:space="preserve">ных образовательных и творческих проектов; – снижение числа обучающихся, состоящих на учете в полиции и психоневрологических диспансерах; – снижение числа жалоб от родителей и педагогов, связанных с социальной незащищенностью и конфликтами внутри коллектива обучающихся.  </w:t>
      </w:r>
    </w:p>
    <w:p w:rsidR="0091383A" w:rsidRPr="00245544" w:rsidRDefault="00020AB2">
      <w:pPr>
        <w:spacing w:after="214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>2.4 Результативностью в модели наставничества «учитель-учитель» является повышение квалификации и профмастерства, следование общим целям коллектива, соответст</w:t>
      </w:r>
      <w:r w:rsidR="00245544">
        <w:rPr>
          <w:sz w:val="28"/>
          <w:szCs w:val="28"/>
        </w:rPr>
        <w:t>во</w:t>
      </w:r>
      <w:r w:rsidRPr="00245544">
        <w:rPr>
          <w:sz w:val="28"/>
          <w:szCs w:val="28"/>
        </w:rPr>
        <w:t xml:space="preserve">вать интересам Учреждения.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2.5 Результативностью в наставничестве в модели наставничества «учитель-учитель» будет являться развитие личностно-ориентированных отношений между коллегами, способствующих эффективному оказанию помощи и поддержки в педагогической практике. </w:t>
      </w:r>
    </w:p>
    <w:sectPr w:rsidR="0091383A" w:rsidRPr="00245544" w:rsidSect="00240F4D">
      <w:pgSz w:w="11906" w:h="16838"/>
      <w:pgMar w:top="1135" w:right="708" w:bottom="147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383A"/>
    <w:rsid w:val="00020AB2"/>
    <w:rsid w:val="00240F4D"/>
    <w:rsid w:val="00245544"/>
    <w:rsid w:val="0091383A"/>
    <w:rsid w:val="009823EA"/>
    <w:rsid w:val="00C3027E"/>
    <w:rsid w:val="00D719DB"/>
    <w:rsid w:val="00FD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D"/>
    <w:pPr>
      <w:spacing w:after="164" w:line="30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40F4D"/>
    <w:pPr>
      <w:keepNext/>
      <w:keepLines/>
      <w:spacing w:after="279"/>
      <w:ind w:right="1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0F4D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Зарган</cp:lastModifiedBy>
  <cp:revision>8</cp:revision>
  <dcterms:created xsi:type="dcterms:W3CDTF">2023-06-05T18:25:00Z</dcterms:created>
  <dcterms:modified xsi:type="dcterms:W3CDTF">2023-11-15T06:46:00Z</dcterms:modified>
</cp:coreProperties>
</file>